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C886" w14:textId="77777777" w:rsidR="0022652A" w:rsidRPr="0022652A" w:rsidRDefault="00892CAA" w:rsidP="0022652A">
      <w:pPr>
        <w:pStyle w:val="Title"/>
        <w:rPr>
          <w:spacing w:val="-8"/>
        </w:rPr>
      </w:pPr>
      <w:bookmarkStart w:id="0" w:name="_GoBack"/>
      <w:bookmarkEnd w:id="0"/>
      <w:r w:rsidRPr="00892CAA">
        <w:rPr>
          <w:spacing w:val="-8"/>
        </w:rPr>
        <w:t>Family law (property) changes from 10 June 2025</w:t>
      </w:r>
    </w:p>
    <w:p w14:paraId="2A57C887" w14:textId="77777777" w:rsidR="00BA2732" w:rsidRDefault="00AB415F" w:rsidP="0022652A">
      <w:pPr>
        <w:pStyle w:val="Subtitle"/>
      </w:pPr>
      <w:r w:rsidRPr="00AB415F">
        <w:t>Fact sheet for separating couples</w:t>
      </w:r>
    </w:p>
    <w:p w14:paraId="2A57C888" w14:textId="77777777" w:rsidR="00AB415F" w:rsidRPr="00AB415F" w:rsidRDefault="00AB415F" w:rsidP="00AB415F">
      <w:pPr>
        <w:pStyle w:val="Intropara0"/>
        <w:spacing w:before="0"/>
        <w:rPr>
          <w:spacing w:val="-4"/>
        </w:rPr>
      </w:pPr>
      <w:r w:rsidRPr="00AB415F">
        <w:rPr>
          <w:spacing w:val="-4"/>
        </w:rPr>
        <w:t>Family law is changing. These changes</w:t>
      </w:r>
      <w:r>
        <w:rPr>
          <w:spacing w:val="-4"/>
        </w:rPr>
        <w:t xml:space="preserve"> </w:t>
      </w:r>
      <w:r w:rsidRPr="00AB415F">
        <w:rPr>
          <w:spacing w:val="-4"/>
        </w:rPr>
        <w:t>may impact separating couples who have a</w:t>
      </w:r>
      <w:r>
        <w:rPr>
          <w:spacing w:val="-4"/>
        </w:rPr>
        <w:t xml:space="preserve"> </w:t>
      </w:r>
      <w:r w:rsidRPr="00AB415F">
        <w:rPr>
          <w:spacing w:val="-4"/>
        </w:rPr>
        <w:t>property matter before the family law courts</w:t>
      </w:r>
      <w:r>
        <w:rPr>
          <w:spacing w:val="-4"/>
        </w:rPr>
        <w:t xml:space="preserve"> </w:t>
      </w:r>
      <w:r w:rsidRPr="00AB415F">
        <w:rPr>
          <w:spacing w:val="-4"/>
        </w:rPr>
        <w:t>or who are trying to decide what happens to</w:t>
      </w:r>
      <w:r>
        <w:rPr>
          <w:spacing w:val="-4"/>
        </w:rPr>
        <w:t xml:space="preserve"> </w:t>
      </w:r>
      <w:r w:rsidRPr="00AB415F">
        <w:rPr>
          <w:spacing w:val="-4"/>
        </w:rPr>
        <w:t>their property and finances after separation.</w:t>
      </w:r>
      <w:r>
        <w:rPr>
          <w:spacing w:val="-4"/>
        </w:rPr>
        <w:t xml:space="preserve"> </w:t>
      </w:r>
      <w:r w:rsidRPr="00AB415F">
        <w:rPr>
          <w:spacing w:val="-4"/>
        </w:rPr>
        <w:t>This is known as a ‘property settlement’.</w:t>
      </w:r>
    </w:p>
    <w:p w14:paraId="2A57C889" w14:textId="77777777" w:rsidR="0022652A" w:rsidRDefault="00AB415F" w:rsidP="00AB415F">
      <w:pPr>
        <w:pStyle w:val="Intropara0"/>
        <w:spacing w:before="0"/>
        <w:rPr>
          <w:spacing w:val="-4"/>
        </w:rPr>
      </w:pPr>
      <w:r w:rsidRPr="00AB415F">
        <w:rPr>
          <w:spacing w:val="-4"/>
        </w:rPr>
        <w:t>This fact sheet will help separating couples</w:t>
      </w:r>
      <w:r>
        <w:rPr>
          <w:spacing w:val="-4"/>
        </w:rPr>
        <w:t xml:space="preserve"> </w:t>
      </w:r>
      <w:r w:rsidRPr="00AB415F">
        <w:rPr>
          <w:spacing w:val="-4"/>
        </w:rPr>
        <w:t>to understand how the new law operates.</w:t>
      </w:r>
      <w:r>
        <w:rPr>
          <w:spacing w:val="-4"/>
        </w:rPr>
        <w:t xml:space="preserve"> </w:t>
      </w:r>
      <w:r w:rsidRPr="00AB415F">
        <w:rPr>
          <w:spacing w:val="-4"/>
        </w:rPr>
        <w:t>It contains general information only and is</w:t>
      </w:r>
      <w:r>
        <w:rPr>
          <w:spacing w:val="-4"/>
        </w:rPr>
        <w:t xml:space="preserve"> </w:t>
      </w:r>
      <w:r w:rsidRPr="00AB415F">
        <w:rPr>
          <w:spacing w:val="-4"/>
        </w:rPr>
        <w:t>not intended to represent legal advice.</w:t>
      </w:r>
    </w:p>
    <w:p w14:paraId="2A57C88A" w14:textId="77777777" w:rsidR="00AB415F" w:rsidRPr="00AB415F" w:rsidRDefault="00AB415F" w:rsidP="00AB415F">
      <w:pPr>
        <w:pStyle w:val="Heading1"/>
      </w:pPr>
      <w:r w:rsidRPr="00AB415F">
        <w:t>Arrangements for</w:t>
      </w:r>
      <w:r>
        <w:t xml:space="preserve"> </w:t>
      </w:r>
      <w:r w:rsidRPr="00AB415F">
        <w:t>finances and property</w:t>
      </w:r>
      <w:r>
        <w:t xml:space="preserve"> </w:t>
      </w:r>
      <w:r w:rsidRPr="00AB415F">
        <w:t>after separation</w:t>
      </w:r>
    </w:p>
    <w:p w14:paraId="2A57C88B" w14:textId="77777777" w:rsidR="00AB415F" w:rsidRPr="00AB415F" w:rsidRDefault="00AB415F" w:rsidP="00AB415F">
      <w:r w:rsidRPr="00AB415F">
        <w:t>Most separating couples make their own</w:t>
      </w:r>
      <w:r>
        <w:t xml:space="preserve"> </w:t>
      </w:r>
      <w:r w:rsidRPr="00AB415F">
        <w:t>arrangements for what happens to their finances</w:t>
      </w:r>
      <w:r>
        <w:t xml:space="preserve"> </w:t>
      </w:r>
      <w:r w:rsidRPr="00AB415F">
        <w:t>and property after their relationship ends. Some</w:t>
      </w:r>
      <w:r>
        <w:t xml:space="preserve"> </w:t>
      </w:r>
      <w:r w:rsidRPr="00AB415F">
        <w:t>couples use dispute resolution outside of court</w:t>
      </w:r>
      <w:r>
        <w:t xml:space="preserve"> </w:t>
      </w:r>
      <w:r w:rsidRPr="00AB415F">
        <w:t>to reach agreement. Couples who cannot reach</w:t>
      </w:r>
      <w:r>
        <w:t xml:space="preserve"> </w:t>
      </w:r>
      <w:r w:rsidRPr="00AB415F">
        <w:t>agreement through dispute resolution can apply</w:t>
      </w:r>
      <w:r>
        <w:t xml:space="preserve"> </w:t>
      </w:r>
      <w:r w:rsidRPr="00AB415F">
        <w:t>to the family law courts to determine a property</w:t>
      </w:r>
      <w:r>
        <w:t xml:space="preserve"> </w:t>
      </w:r>
      <w:r w:rsidRPr="00AB415F">
        <w:t>settlement. The family law courts have broad</w:t>
      </w:r>
      <w:r>
        <w:t xml:space="preserve"> </w:t>
      </w:r>
      <w:r w:rsidRPr="00AB415F">
        <w:t>powers to make orders about property (such as</w:t>
      </w:r>
      <w:r>
        <w:t xml:space="preserve"> </w:t>
      </w:r>
      <w:r w:rsidRPr="00AB415F">
        <w:t>the family home, shares, or superannuation), and</w:t>
      </w:r>
      <w:r>
        <w:t xml:space="preserve"> </w:t>
      </w:r>
      <w:r w:rsidRPr="00AB415F">
        <w:t>liabilities (debts), if it would be just and equitable</w:t>
      </w:r>
      <w:r>
        <w:t xml:space="preserve"> </w:t>
      </w:r>
      <w:r w:rsidRPr="00AB415F">
        <w:t>to do so.</w:t>
      </w:r>
    </w:p>
    <w:p w14:paraId="2A57C88C" w14:textId="77777777" w:rsidR="00AB415F" w:rsidRPr="00AB415F" w:rsidRDefault="00AB415F" w:rsidP="00AB415F">
      <w:r w:rsidRPr="00AB415F">
        <w:t xml:space="preserve">From 10 June 2025, the </w:t>
      </w:r>
      <w:r w:rsidRPr="00AB415F">
        <w:rPr>
          <w:i/>
        </w:rPr>
        <w:t>Family Law Act 1975</w:t>
      </w:r>
      <w:r>
        <w:t xml:space="preserve"> </w:t>
      </w:r>
      <w:r w:rsidRPr="00AB415F">
        <w:t>includes changes to the law about:</w:t>
      </w:r>
    </w:p>
    <w:p w14:paraId="2A57C88D" w14:textId="77777777" w:rsidR="00AB415F" w:rsidRPr="00AB415F" w:rsidRDefault="00AB415F" w:rsidP="00AB415F">
      <w:pPr>
        <w:pStyle w:val="ListBullet"/>
      </w:pPr>
      <w:r w:rsidRPr="00AB415F">
        <w:t>how the family law courts will determine a</w:t>
      </w:r>
      <w:r>
        <w:t xml:space="preserve"> </w:t>
      </w:r>
      <w:r w:rsidRPr="00AB415F">
        <w:t>property settlement</w:t>
      </w:r>
    </w:p>
    <w:p w14:paraId="2A57C88E" w14:textId="77777777" w:rsidR="00AB415F" w:rsidRPr="00AB415F" w:rsidRDefault="00AB415F" w:rsidP="00AB415F">
      <w:pPr>
        <w:pStyle w:val="ListBullet"/>
      </w:pPr>
      <w:r w:rsidRPr="00AB415F">
        <w:t>what the family law courts will consider when</w:t>
      </w:r>
      <w:r>
        <w:t xml:space="preserve"> </w:t>
      </w:r>
      <w:r w:rsidRPr="00AB415F">
        <w:t>determining a property settlement. This</w:t>
      </w:r>
      <w:r>
        <w:t xml:space="preserve"> </w:t>
      </w:r>
      <w:r w:rsidRPr="00AB415F">
        <w:t>includes the economic effect of any family</w:t>
      </w:r>
      <w:r>
        <w:t xml:space="preserve"> </w:t>
      </w:r>
      <w:r w:rsidRPr="00AB415F">
        <w:t>violence, where relevant.</w:t>
      </w:r>
    </w:p>
    <w:p w14:paraId="2A57C88F" w14:textId="77777777" w:rsidR="00AB415F" w:rsidRDefault="00AB415F" w:rsidP="00AB415F">
      <w:pPr>
        <w:rPr>
          <w:spacing w:val="-4"/>
        </w:rPr>
      </w:pPr>
      <w:r w:rsidRPr="00AB415F">
        <w:t>These changes apply to all separating couples,</w:t>
      </w:r>
      <w:r>
        <w:t xml:space="preserve"> </w:t>
      </w:r>
      <w:r w:rsidRPr="00AB415F">
        <w:rPr>
          <w:spacing w:val="-4"/>
        </w:rPr>
        <w:t>whether their property settlement is determined</w:t>
      </w:r>
      <w:r>
        <w:rPr>
          <w:spacing w:val="-4"/>
        </w:rPr>
        <w:t xml:space="preserve"> </w:t>
      </w:r>
      <w:r w:rsidRPr="00AB415F">
        <w:rPr>
          <w:spacing w:val="-4"/>
        </w:rPr>
        <w:t>by the family law courts, or they are negotiating</w:t>
      </w:r>
      <w:r>
        <w:rPr>
          <w:spacing w:val="-4"/>
        </w:rPr>
        <w:t xml:space="preserve"> </w:t>
      </w:r>
      <w:r w:rsidRPr="00AB415F">
        <w:rPr>
          <w:spacing w:val="-4"/>
        </w:rPr>
        <w:t>outside of court.</w:t>
      </w:r>
    </w:p>
    <w:p w14:paraId="2A57C890" w14:textId="77777777" w:rsidR="00AB415F" w:rsidRPr="00AB415F" w:rsidRDefault="00AB415F" w:rsidP="00AB415F">
      <w:pPr>
        <w:pStyle w:val="Heading1"/>
      </w:pPr>
      <w:r w:rsidRPr="00AB415F">
        <w:lastRenderedPageBreak/>
        <w:t>Process for determining a</w:t>
      </w:r>
      <w:r>
        <w:t xml:space="preserve"> </w:t>
      </w:r>
      <w:r w:rsidRPr="00AB415F">
        <w:t>property settlement</w:t>
      </w:r>
    </w:p>
    <w:p w14:paraId="2A57C891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When considering a property matter, the family law</w:t>
      </w:r>
      <w:r>
        <w:rPr>
          <w:spacing w:val="-4"/>
        </w:rPr>
        <w:t xml:space="preserve"> </w:t>
      </w:r>
      <w:r w:rsidRPr="00AB415F">
        <w:rPr>
          <w:spacing w:val="-4"/>
        </w:rPr>
        <w:t>courts must:</w:t>
      </w:r>
    </w:p>
    <w:p w14:paraId="2A57C892" w14:textId="77777777" w:rsidR="00AB415F" w:rsidRPr="00AB415F" w:rsidRDefault="00AB415F" w:rsidP="00AB415F">
      <w:pPr>
        <w:pStyle w:val="ListBullet"/>
      </w:pPr>
      <w:r w:rsidRPr="00AB415F">
        <w:t>identify all property and liabilities (debts) of the parties</w:t>
      </w:r>
    </w:p>
    <w:p w14:paraId="2A57C893" w14:textId="77777777" w:rsidR="00AB415F" w:rsidRPr="00AB415F" w:rsidRDefault="00AB415F" w:rsidP="00AB415F">
      <w:pPr>
        <w:pStyle w:val="ListBullet"/>
      </w:pPr>
      <w:r w:rsidRPr="00AB415F">
        <w:t>assess each party’s contributions to the property pool,</w:t>
      </w:r>
      <w:r>
        <w:t xml:space="preserve"> </w:t>
      </w:r>
      <w:r w:rsidRPr="00AB415F">
        <w:t>and to the welfare of the family</w:t>
      </w:r>
    </w:p>
    <w:p w14:paraId="2A57C894" w14:textId="77777777" w:rsidR="00AB415F" w:rsidRPr="00AB415F" w:rsidRDefault="00AB415F" w:rsidP="00AB415F">
      <w:pPr>
        <w:pStyle w:val="ListBullet"/>
      </w:pPr>
      <w:r w:rsidRPr="00AB415F">
        <w:t>assess each party’s current and future circumstances.</w:t>
      </w:r>
      <w:r>
        <w:t xml:space="preserve"> </w:t>
      </w:r>
      <w:r w:rsidRPr="00AB415F">
        <w:t>The family law courts will consider matters such as each</w:t>
      </w:r>
      <w:r>
        <w:t xml:space="preserve"> </w:t>
      </w:r>
      <w:r w:rsidRPr="00AB415F">
        <w:t>party’s age and state of health, and the care and housing</w:t>
      </w:r>
      <w:r>
        <w:t xml:space="preserve"> </w:t>
      </w:r>
      <w:r w:rsidRPr="00AB415F">
        <w:t>needs of any children</w:t>
      </w:r>
    </w:p>
    <w:p w14:paraId="2A57C895" w14:textId="77777777" w:rsidR="00AB415F" w:rsidRPr="00AB415F" w:rsidRDefault="00AB415F" w:rsidP="00AB415F">
      <w:pPr>
        <w:pStyle w:val="ListBullet"/>
      </w:pPr>
      <w:r w:rsidRPr="00AB415F">
        <w:t>only make orders that are, in all of the circumstances,</w:t>
      </w:r>
      <w:r>
        <w:t xml:space="preserve"> </w:t>
      </w:r>
      <w:r w:rsidRPr="00AB415F">
        <w:t>just and equitable.</w:t>
      </w:r>
    </w:p>
    <w:p w14:paraId="2A57C896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Separating couples negotiating outside of court should also</w:t>
      </w:r>
      <w:r>
        <w:rPr>
          <w:spacing w:val="-4"/>
        </w:rPr>
        <w:t xml:space="preserve"> </w:t>
      </w:r>
      <w:r w:rsidRPr="00AB415F">
        <w:rPr>
          <w:spacing w:val="-4"/>
        </w:rPr>
        <w:t>follow this process.</w:t>
      </w:r>
    </w:p>
    <w:p w14:paraId="2A57C897" w14:textId="77777777" w:rsidR="00AB415F" w:rsidRPr="00AB415F" w:rsidRDefault="00AB415F" w:rsidP="00AB415F">
      <w:pPr>
        <w:pStyle w:val="Heading1"/>
      </w:pPr>
      <w:r w:rsidRPr="00AB415F">
        <w:t>Relevance of family violence to</w:t>
      </w:r>
      <w:r>
        <w:t xml:space="preserve"> </w:t>
      </w:r>
      <w:r w:rsidRPr="00AB415F">
        <w:t>property settlements</w:t>
      </w:r>
    </w:p>
    <w:p w14:paraId="2A57C898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Family violence means violent, threatening or other behaviour</w:t>
      </w:r>
      <w:r>
        <w:rPr>
          <w:spacing w:val="-4"/>
        </w:rPr>
        <w:t xml:space="preserve"> </w:t>
      </w:r>
      <w:r w:rsidRPr="00AB415F">
        <w:rPr>
          <w:spacing w:val="-4"/>
        </w:rPr>
        <w:t>by a person that coerces or controls a member of the</w:t>
      </w:r>
      <w:r>
        <w:rPr>
          <w:spacing w:val="-4"/>
        </w:rPr>
        <w:t xml:space="preserve"> </w:t>
      </w:r>
      <w:r w:rsidRPr="00AB415F">
        <w:rPr>
          <w:spacing w:val="-4"/>
        </w:rPr>
        <w:t>person’s family, or causes the family member to be fearful.</w:t>
      </w:r>
    </w:p>
    <w:p w14:paraId="2A57C899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From 10 June 2025, the economic effect of family violence</w:t>
      </w:r>
      <w:r>
        <w:rPr>
          <w:spacing w:val="-4"/>
        </w:rPr>
        <w:t xml:space="preserve"> </w:t>
      </w:r>
      <w:r w:rsidRPr="00AB415F">
        <w:rPr>
          <w:spacing w:val="-4"/>
        </w:rPr>
        <w:t>must be considered, where relevant, when making</w:t>
      </w:r>
      <w:r>
        <w:rPr>
          <w:spacing w:val="-4"/>
        </w:rPr>
        <w:t xml:space="preserve"> </w:t>
      </w:r>
      <w:r w:rsidRPr="00AB415F">
        <w:rPr>
          <w:spacing w:val="-4"/>
        </w:rPr>
        <w:t>decisions about property and finances after separation.</w:t>
      </w:r>
      <w:r>
        <w:rPr>
          <w:spacing w:val="-4"/>
        </w:rPr>
        <w:t xml:space="preserve"> </w:t>
      </w:r>
      <w:r w:rsidRPr="00AB415F">
        <w:rPr>
          <w:spacing w:val="-4"/>
        </w:rPr>
        <w:t>The amendments also make clear that economic or</w:t>
      </w:r>
      <w:r>
        <w:rPr>
          <w:spacing w:val="-4"/>
        </w:rPr>
        <w:t xml:space="preserve"> </w:t>
      </w:r>
      <w:r w:rsidRPr="00AB415F">
        <w:rPr>
          <w:spacing w:val="-4"/>
        </w:rPr>
        <w:t>financial abuse may constitute family violence. This might</w:t>
      </w:r>
      <w:r>
        <w:rPr>
          <w:spacing w:val="-4"/>
        </w:rPr>
        <w:t xml:space="preserve"> </w:t>
      </w:r>
      <w:r w:rsidRPr="00AB415F">
        <w:rPr>
          <w:spacing w:val="-4"/>
        </w:rPr>
        <w:t>include where a person has controlled all of the finances</w:t>
      </w:r>
      <w:r>
        <w:rPr>
          <w:spacing w:val="-4"/>
        </w:rPr>
        <w:t xml:space="preserve"> </w:t>
      </w:r>
      <w:r w:rsidRPr="00AB415F">
        <w:rPr>
          <w:spacing w:val="-4"/>
        </w:rPr>
        <w:t>or spending.</w:t>
      </w:r>
    </w:p>
    <w:p w14:paraId="2A57C89A" w14:textId="77777777" w:rsidR="00AB415F" w:rsidRDefault="00AB415F" w:rsidP="00AB415F">
      <w:pPr>
        <w:rPr>
          <w:spacing w:val="-4"/>
        </w:rPr>
      </w:pPr>
      <w:r w:rsidRPr="00AB415F">
        <w:rPr>
          <w:spacing w:val="-4"/>
        </w:rPr>
        <w:t>The impact of family violence could be relevant when</w:t>
      </w:r>
      <w:r>
        <w:rPr>
          <w:spacing w:val="-4"/>
        </w:rPr>
        <w:t xml:space="preserve"> </w:t>
      </w:r>
      <w:r w:rsidRPr="00AB415F">
        <w:rPr>
          <w:spacing w:val="-4"/>
        </w:rPr>
        <w:t>assessing a party’s contributions to the property pool and</w:t>
      </w:r>
      <w:r>
        <w:rPr>
          <w:spacing w:val="-4"/>
        </w:rPr>
        <w:t xml:space="preserve"> </w:t>
      </w:r>
      <w:r w:rsidRPr="00AB415F">
        <w:rPr>
          <w:spacing w:val="-4"/>
        </w:rPr>
        <w:t>to the welfare of the family (for example, if they were not</w:t>
      </w:r>
      <w:r>
        <w:rPr>
          <w:spacing w:val="-4"/>
        </w:rPr>
        <w:t xml:space="preserve"> </w:t>
      </w:r>
      <w:r w:rsidRPr="00AB415F">
        <w:rPr>
          <w:spacing w:val="-4"/>
        </w:rPr>
        <w:t>allowed to work), and when assessing their current and</w:t>
      </w:r>
      <w:r>
        <w:rPr>
          <w:spacing w:val="-4"/>
        </w:rPr>
        <w:t xml:space="preserve"> </w:t>
      </w:r>
      <w:r w:rsidRPr="00AB415F">
        <w:rPr>
          <w:spacing w:val="-4"/>
        </w:rPr>
        <w:t>future circumstances (for example, if they have ongoing</w:t>
      </w:r>
      <w:r>
        <w:rPr>
          <w:spacing w:val="-4"/>
        </w:rPr>
        <w:t xml:space="preserve"> </w:t>
      </w:r>
      <w:r w:rsidRPr="00AB415F">
        <w:rPr>
          <w:spacing w:val="-4"/>
        </w:rPr>
        <w:t>counselling or rehabilitation costs).</w:t>
      </w:r>
    </w:p>
    <w:p w14:paraId="2A57C89B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The changes to the law do not permit the family law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courts to:</w:t>
      </w:r>
    </w:p>
    <w:p w14:paraId="2A57C89C" w14:textId="77777777" w:rsidR="00AB415F" w:rsidRPr="00AB415F" w:rsidRDefault="00AB415F" w:rsidP="00577491">
      <w:pPr>
        <w:pStyle w:val="ListBullet"/>
      </w:pPr>
      <w:r w:rsidRPr="00AB415F">
        <w:t>sentence someone for engaging in family violence</w:t>
      </w:r>
      <w:r w:rsidR="00577491">
        <w:t xml:space="preserve"> </w:t>
      </w:r>
      <w:r w:rsidRPr="00AB415F">
        <w:t>conduct. Prosecutions for family violence offences</w:t>
      </w:r>
      <w:r w:rsidR="00577491">
        <w:t xml:space="preserve"> </w:t>
      </w:r>
      <w:r w:rsidRPr="00AB415F">
        <w:t>are made in state and territory criminal courts</w:t>
      </w:r>
    </w:p>
    <w:p w14:paraId="2A57C89D" w14:textId="77777777" w:rsidR="00AB415F" w:rsidRPr="00AB415F" w:rsidRDefault="00AB415F" w:rsidP="00577491">
      <w:pPr>
        <w:pStyle w:val="ListBullet"/>
      </w:pPr>
      <w:r w:rsidRPr="00AB415F">
        <w:t>order compensation for harm caused by family</w:t>
      </w:r>
      <w:r w:rsidR="00577491">
        <w:t xml:space="preserve"> </w:t>
      </w:r>
      <w:r w:rsidRPr="00AB415F">
        <w:t>violence. Compensation may be available under a</w:t>
      </w:r>
      <w:r w:rsidR="00577491">
        <w:t xml:space="preserve"> </w:t>
      </w:r>
      <w:r w:rsidRPr="00AB415F">
        <w:t>Victims of Crime Compensation Scheme, or under an</w:t>
      </w:r>
      <w:r w:rsidR="00577491">
        <w:t xml:space="preserve"> </w:t>
      </w:r>
      <w:r w:rsidRPr="00AB415F">
        <w:t>order from a state or territory civil court</w:t>
      </w:r>
    </w:p>
    <w:p w14:paraId="2A57C89E" w14:textId="77777777" w:rsidR="00AB415F" w:rsidRPr="00AB415F" w:rsidRDefault="00AB415F" w:rsidP="00577491">
      <w:pPr>
        <w:pStyle w:val="ListBullet"/>
      </w:pPr>
      <w:r w:rsidRPr="00AB415F">
        <w:t>make a family violence order to protect someone from</w:t>
      </w:r>
      <w:r w:rsidR="00577491">
        <w:t xml:space="preserve"> </w:t>
      </w:r>
      <w:r w:rsidRPr="00AB415F">
        <w:t>family violence, or alter existing orders made by state</w:t>
      </w:r>
      <w:r w:rsidR="00577491">
        <w:t xml:space="preserve"> </w:t>
      </w:r>
      <w:r w:rsidRPr="00AB415F">
        <w:t>or territory courts to protect someone from family</w:t>
      </w:r>
      <w:r w:rsidR="00577491">
        <w:t xml:space="preserve"> </w:t>
      </w:r>
      <w:r w:rsidRPr="00AB415F">
        <w:t>violence. Orders for protection against family violence</w:t>
      </w:r>
      <w:r w:rsidR="00577491">
        <w:t xml:space="preserve"> </w:t>
      </w:r>
      <w:r w:rsidRPr="00AB415F">
        <w:t>are made or amended by state or territory courts.</w:t>
      </w:r>
    </w:p>
    <w:p w14:paraId="2A57C89F" w14:textId="77777777" w:rsidR="00AB415F" w:rsidRPr="00AB415F" w:rsidRDefault="00AB415F" w:rsidP="00577491">
      <w:pPr>
        <w:pStyle w:val="Heading1"/>
        <w:rPr>
          <w:spacing w:val="-4"/>
        </w:rPr>
      </w:pPr>
      <w:r w:rsidRPr="00AB415F">
        <w:lastRenderedPageBreak/>
        <w:t>Companion animals in family</w:t>
      </w:r>
      <w:r w:rsidR="00577491">
        <w:t xml:space="preserve"> </w:t>
      </w:r>
      <w:r w:rsidRPr="00AB415F">
        <w:rPr>
          <w:spacing w:val="-4"/>
        </w:rPr>
        <w:t>law property settlements</w:t>
      </w:r>
    </w:p>
    <w:p w14:paraId="2A57C8A0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 xml:space="preserve">Separating couples can </w:t>
      </w:r>
      <w:proofErr w:type="gramStart"/>
      <w:r w:rsidRPr="00AB415F">
        <w:rPr>
          <w:spacing w:val="-4"/>
        </w:rPr>
        <w:t>make arrangements</w:t>
      </w:r>
      <w:proofErr w:type="gramEnd"/>
      <w:r w:rsidRPr="00AB415F">
        <w:rPr>
          <w:spacing w:val="-4"/>
        </w:rPr>
        <w:t xml:space="preserve"> for what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happens to their companion animals (family pets), without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going to court. This is what happens most of the time.</w:t>
      </w:r>
    </w:p>
    <w:p w14:paraId="2A57C8A1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If separating couples cannot agree, they can apply to the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family law courts to make an order. From 10 June 2025,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when considering what order, if any, to make about family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pets, the family law courts must consider a specific list of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matters that apply only in relation to family pets.</w:t>
      </w:r>
    </w:p>
    <w:p w14:paraId="2A57C8A2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This includes:</w:t>
      </w:r>
    </w:p>
    <w:p w14:paraId="2A57C8A3" w14:textId="77777777" w:rsidR="00AB415F" w:rsidRPr="00AB415F" w:rsidRDefault="00AB415F" w:rsidP="00577491">
      <w:pPr>
        <w:pStyle w:val="ListBullet"/>
      </w:pPr>
      <w:r w:rsidRPr="00AB415F">
        <w:t>any animal abuse, including threatening behaviour as</w:t>
      </w:r>
      <w:r w:rsidR="00577491">
        <w:t xml:space="preserve"> </w:t>
      </w:r>
      <w:r w:rsidRPr="00AB415F">
        <w:t>a form of family violence</w:t>
      </w:r>
    </w:p>
    <w:p w14:paraId="2A57C8A4" w14:textId="77777777" w:rsidR="00AB415F" w:rsidRPr="00AB415F" w:rsidRDefault="00AB415F" w:rsidP="00577491">
      <w:pPr>
        <w:pStyle w:val="ListBullet"/>
      </w:pPr>
      <w:r w:rsidRPr="00AB415F">
        <w:t>the attachment of each party, or children of the</w:t>
      </w:r>
      <w:r w:rsidR="00577491">
        <w:t xml:space="preserve"> </w:t>
      </w:r>
      <w:r w:rsidRPr="00AB415F">
        <w:t>relationship to the family pets.</w:t>
      </w:r>
    </w:p>
    <w:p w14:paraId="2A57C8A5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The family law courts can only make certain types of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orders about family pets. The family law courts cannot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make orders for joint ownership or arrangements for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sharing possession of family pets.</w:t>
      </w:r>
    </w:p>
    <w:p w14:paraId="2A57C8A6" w14:textId="77777777" w:rsidR="00AB415F" w:rsidRPr="00AB415F" w:rsidRDefault="00AB415F" w:rsidP="00577491">
      <w:pPr>
        <w:pStyle w:val="Heading1"/>
      </w:pPr>
      <w:r w:rsidRPr="00AB415F">
        <w:t>Duty of financial disclosure</w:t>
      </w:r>
    </w:p>
    <w:p w14:paraId="2A57C8A7" w14:textId="77777777" w:rsidR="00AB415F" w:rsidRPr="00AB415F" w:rsidRDefault="00AB415F" w:rsidP="00AB415F">
      <w:pPr>
        <w:rPr>
          <w:spacing w:val="-4"/>
        </w:rPr>
      </w:pPr>
      <w:r w:rsidRPr="00AB415F">
        <w:rPr>
          <w:spacing w:val="-4"/>
        </w:rPr>
        <w:t>Separating couples have a duty to give all relevant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financial information and documents to each other and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the court. From 10 June 2025, the duty of disclosure is in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 xml:space="preserve">the </w:t>
      </w:r>
      <w:r w:rsidRPr="00577491">
        <w:rPr>
          <w:i/>
          <w:spacing w:val="-4"/>
        </w:rPr>
        <w:t>Family Law Act 1975</w:t>
      </w:r>
      <w:r w:rsidRPr="00AB415F">
        <w:rPr>
          <w:spacing w:val="-4"/>
        </w:rPr>
        <w:t xml:space="preserve"> instead of the Federal Circuit and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Family Court of Australia (Family Law) Rules. The nature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of the duty is the same.</w:t>
      </w:r>
    </w:p>
    <w:p w14:paraId="2A57C8A8" w14:textId="77777777" w:rsidR="00AB415F" w:rsidRDefault="00AB415F" w:rsidP="00AB415F">
      <w:pPr>
        <w:rPr>
          <w:spacing w:val="-4"/>
        </w:rPr>
      </w:pPr>
      <w:r w:rsidRPr="00AB415F">
        <w:rPr>
          <w:spacing w:val="-4"/>
        </w:rPr>
        <w:t>The duty applies to all disputes about finances and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property that arise following separation. It is an ongoing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duty, which means separating couples must provide all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relevant information when they are trying to resolve their</w:t>
      </w:r>
      <w:r w:rsidR="00577491">
        <w:rPr>
          <w:spacing w:val="-4"/>
        </w:rPr>
        <w:t xml:space="preserve"> </w:t>
      </w:r>
      <w:r w:rsidRPr="00AB415F">
        <w:rPr>
          <w:spacing w:val="-4"/>
        </w:rPr>
        <w:t>property matter.</w:t>
      </w:r>
    </w:p>
    <w:p w14:paraId="2A57C8A9" w14:textId="77777777" w:rsidR="00577491" w:rsidRPr="00577491" w:rsidRDefault="00577491" w:rsidP="00577491">
      <w:pPr>
        <w:rPr>
          <w:spacing w:val="-4"/>
        </w:rPr>
      </w:pPr>
      <w:r w:rsidRPr="00577491">
        <w:rPr>
          <w:spacing w:val="-4"/>
        </w:rPr>
        <w:t>There can be consequences if separating couples do not</w:t>
      </w:r>
      <w:r>
        <w:rPr>
          <w:spacing w:val="-4"/>
        </w:rPr>
        <w:t xml:space="preserve"> </w:t>
      </w:r>
      <w:r w:rsidRPr="00577491">
        <w:rPr>
          <w:spacing w:val="-4"/>
        </w:rPr>
        <w:t>do this. For example, the family law courts may:</w:t>
      </w:r>
    </w:p>
    <w:p w14:paraId="2A57C8AA" w14:textId="77777777" w:rsidR="00577491" w:rsidRPr="00577491" w:rsidRDefault="00577491" w:rsidP="00577491">
      <w:pPr>
        <w:pStyle w:val="ListBullet"/>
      </w:pPr>
      <w:r w:rsidRPr="00577491">
        <w:t>take non-compliance into account in a property</w:t>
      </w:r>
      <w:r>
        <w:t xml:space="preserve"> </w:t>
      </w:r>
      <w:r w:rsidRPr="00577491">
        <w:t>settlement</w:t>
      </w:r>
    </w:p>
    <w:p w14:paraId="2A57C8AB" w14:textId="77777777" w:rsidR="00577491" w:rsidRPr="00577491" w:rsidRDefault="00577491" w:rsidP="00577491">
      <w:pPr>
        <w:pStyle w:val="ListBullet"/>
      </w:pPr>
      <w:r w:rsidRPr="00577491">
        <w:t>impose sanctions, such as costs orders</w:t>
      </w:r>
    </w:p>
    <w:p w14:paraId="2A57C8AC" w14:textId="77777777" w:rsidR="00577491" w:rsidRPr="00577491" w:rsidRDefault="00577491" w:rsidP="00577491">
      <w:pPr>
        <w:pStyle w:val="ListBullet"/>
      </w:pPr>
      <w:r w:rsidRPr="00577491">
        <w:t>punish a party for contempt of court with a fine or</w:t>
      </w:r>
      <w:r>
        <w:t xml:space="preserve"> </w:t>
      </w:r>
      <w:r w:rsidRPr="00577491">
        <w:t>imprisonment, or</w:t>
      </w:r>
    </w:p>
    <w:p w14:paraId="2A57C8AD" w14:textId="77777777" w:rsidR="00577491" w:rsidRPr="00577491" w:rsidRDefault="00577491" w:rsidP="00577491">
      <w:pPr>
        <w:pStyle w:val="ListBullet"/>
      </w:pPr>
      <w:r w:rsidRPr="00577491">
        <w:t>defer or dismiss all or part of the proceedings.</w:t>
      </w:r>
    </w:p>
    <w:p w14:paraId="2A57C8AE" w14:textId="77777777" w:rsidR="00577491" w:rsidRPr="00577491" w:rsidRDefault="00577491" w:rsidP="00577491">
      <w:pPr>
        <w:pStyle w:val="Heading1"/>
      </w:pPr>
      <w:r w:rsidRPr="00577491">
        <w:t>Existing property settlements</w:t>
      </w:r>
    </w:p>
    <w:p w14:paraId="2A57C8AF" w14:textId="77777777" w:rsidR="00577491" w:rsidRPr="00577491" w:rsidRDefault="00577491" w:rsidP="00577491">
      <w:pPr>
        <w:rPr>
          <w:spacing w:val="-4"/>
        </w:rPr>
      </w:pPr>
      <w:r w:rsidRPr="00577491">
        <w:rPr>
          <w:spacing w:val="-4"/>
        </w:rPr>
        <w:t>Existing financial or property orders do not change</w:t>
      </w:r>
      <w:r>
        <w:rPr>
          <w:spacing w:val="-4"/>
        </w:rPr>
        <w:t xml:space="preserve"> </w:t>
      </w:r>
      <w:r w:rsidRPr="00577491">
        <w:rPr>
          <w:spacing w:val="-4"/>
        </w:rPr>
        <w:t>because of the new laws. People with existing orders</w:t>
      </w:r>
      <w:r>
        <w:rPr>
          <w:spacing w:val="-4"/>
        </w:rPr>
        <w:t xml:space="preserve"> </w:t>
      </w:r>
      <w:r w:rsidRPr="00577491">
        <w:rPr>
          <w:spacing w:val="-4"/>
        </w:rPr>
        <w:t>should continue to follow those orders.</w:t>
      </w:r>
    </w:p>
    <w:p w14:paraId="2A57C8B0" w14:textId="77777777" w:rsidR="00577491" w:rsidRPr="00577491" w:rsidRDefault="00577491" w:rsidP="00577491">
      <w:pPr>
        <w:pStyle w:val="Heading1"/>
      </w:pPr>
      <w:r w:rsidRPr="00577491">
        <w:lastRenderedPageBreak/>
        <w:t>People already in court</w:t>
      </w:r>
    </w:p>
    <w:p w14:paraId="2A57C8B1" w14:textId="77777777" w:rsidR="00577491" w:rsidRPr="00577491" w:rsidRDefault="00577491" w:rsidP="00577491">
      <w:pPr>
        <w:keepLines/>
        <w:rPr>
          <w:spacing w:val="-4"/>
        </w:rPr>
      </w:pPr>
      <w:r w:rsidRPr="00577491">
        <w:rPr>
          <w:spacing w:val="-4"/>
        </w:rPr>
        <w:t>The changes apply to all new and existing proceedings,</w:t>
      </w:r>
      <w:r>
        <w:rPr>
          <w:spacing w:val="-4"/>
        </w:rPr>
        <w:t xml:space="preserve"> </w:t>
      </w:r>
      <w:r w:rsidRPr="00577491">
        <w:rPr>
          <w:spacing w:val="-4"/>
        </w:rPr>
        <w:t>except where a final hearing has commenced. This means</w:t>
      </w:r>
      <w:r>
        <w:rPr>
          <w:spacing w:val="-4"/>
        </w:rPr>
        <w:t xml:space="preserve"> </w:t>
      </w:r>
      <w:r w:rsidRPr="00577491">
        <w:rPr>
          <w:spacing w:val="-4"/>
        </w:rPr>
        <w:t>the new law applies to all matters (unless a final hearing</w:t>
      </w:r>
      <w:r>
        <w:rPr>
          <w:spacing w:val="-4"/>
        </w:rPr>
        <w:t xml:space="preserve"> </w:t>
      </w:r>
      <w:r w:rsidRPr="00577491">
        <w:rPr>
          <w:spacing w:val="-4"/>
        </w:rPr>
        <w:t>has commenced), even if an application was filed before</w:t>
      </w:r>
      <w:r>
        <w:rPr>
          <w:spacing w:val="-4"/>
        </w:rPr>
        <w:t xml:space="preserve"> </w:t>
      </w:r>
      <w:r w:rsidRPr="00577491">
        <w:rPr>
          <w:spacing w:val="-4"/>
        </w:rPr>
        <w:t>10 June 2025. People who are already in court and do not</w:t>
      </w:r>
      <w:r>
        <w:rPr>
          <w:spacing w:val="-4"/>
        </w:rPr>
        <w:t xml:space="preserve"> </w:t>
      </w:r>
      <w:r w:rsidRPr="00577491">
        <w:rPr>
          <w:spacing w:val="-4"/>
        </w:rPr>
        <w:t>have a lawyer, may wish to seek legal advice about how</w:t>
      </w:r>
      <w:r>
        <w:rPr>
          <w:spacing w:val="-4"/>
        </w:rPr>
        <w:t xml:space="preserve"> </w:t>
      </w:r>
      <w:r w:rsidRPr="00577491">
        <w:rPr>
          <w:spacing w:val="-4"/>
        </w:rPr>
        <w:t>the changes may impact them.</w:t>
      </w:r>
    </w:p>
    <w:p w14:paraId="2A57C8B2" w14:textId="77777777" w:rsidR="00577491" w:rsidRPr="00577491" w:rsidRDefault="00577491" w:rsidP="00577491">
      <w:pPr>
        <w:pStyle w:val="Heading1"/>
      </w:pPr>
      <w:r w:rsidRPr="00577491">
        <w:t>Child support</w:t>
      </w:r>
    </w:p>
    <w:p w14:paraId="2A57C8B3" w14:textId="77777777" w:rsidR="00577491" w:rsidRPr="00577491" w:rsidRDefault="00577491" w:rsidP="00577491">
      <w:pPr>
        <w:rPr>
          <w:spacing w:val="-4"/>
        </w:rPr>
      </w:pPr>
      <w:r w:rsidRPr="00577491">
        <w:rPr>
          <w:spacing w:val="-4"/>
        </w:rPr>
        <w:t>Child support is generally dealt with separately to a</w:t>
      </w:r>
      <w:r>
        <w:rPr>
          <w:spacing w:val="-4"/>
        </w:rPr>
        <w:t xml:space="preserve"> </w:t>
      </w:r>
      <w:r w:rsidRPr="00577491">
        <w:rPr>
          <w:spacing w:val="-4"/>
        </w:rPr>
        <w:t>family law property settlement.</w:t>
      </w:r>
    </w:p>
    <w:p w14:paraId="2A57C8B4" w14:textId="77777777" w:rsidR="00577491" w:rsidRPr="00577491" w:rsidRDefault="00577491" w:rsidP="00577491">
      <w:pPr>
        <w:rPr>
          <w:spacing w:val="-4"/>
        </w:rPr>
      </w:pPr>
      <w:r w:rsidRPr="00577491">
        <w:rPr>
          <w:spacing w:val="-4"/>
        </w:rPr>
        <w:t>Services Australia administers child support in Australia.</w:t>
      </w:r>
      <w:r>
        <w:rPr>
          <w:spacing w:val="-4"/>
        </w:rPr>
        <w:t xml:space="preserve"> </w:t>
      </w:r>
      <w:r w:rsidRPr="00577491">
        <w:rPr>
          <w:spacing w:val="-4"/>
        </w:rPr>
        <w:t>They can be contacted on 131 272.</w:t>
      </w:r>
    </w:p>
    <w:p w14:paraId="2A57C8B5" w14:textId="77777777" w:rsidR="00577491" w:rsidRPr="00577491" w:rsidRDefault="00577491" w:rsidP="00577491">
      <w:pPr>
        <w:pStyle w:val="Heading1"/>
      </w:pPr>
      <w:r w:rsidRPr="00577491">
        <w:t>Help and support</w:t>
      </w:r>
    </w:p>
    <w:p w14:paraId="2A57C8B6" w14:textId="77777777" w:rsidR="00577491" w:rsidRPr="00577491" w:rsidRDefault="00577491" w:rsidP="00577491">
      <w:pPr>
        <w:rPr>
          <w:spacing w:val="-4"/>
        </w:rPr>
      </w:pPr>
      <w:r w:rsidRPr="00577491">
        <w:rPr>
          <w:spacing w:val="-4"/>
        </w:rPr>
        <w:t>If you have immediate safety concerns, contact 000.</w:t>
      </w:r>
    </w:p>
    <w:p w14:paraId="2A57C8B7" w14:textId="77777777" w:rsidR="00AB415F" w:rsidRDefault="00577491" w:rsidP="00577491">
      <w:pPr>
        <w:rPr>
          <w:spacing w:val="-4"/>
        </w:rPr>
      </w:pPr>
      <w:r w:rsidRPr="00577491">
        <w:rPr>
          <w:spacing w:val="-4"/>
        </w:rPr>
        <w:t>If you or someone you know needs help, 1800 RESPECT</w:t>
      </w:r>
      <w:r>
        <w:rPr>
          <w:spacing w:val="-4"/>
        </w:rPr>
        <w:t xml:space="preserve"> </w:t>
      </w:r>
      <w:r w:rsidRPr="00577491">
        <w:rPr>
          <w:spacing w:val="-4"/>
        </w:rPr>
        <w:t>is a confidential online and telephone counselling,</w:t>
      </w:r>
      <w:r>
        <w:rPr>
          <w:spacing w:val="-4"/>
        </w:rPr>
        <w:t xml:space="preserve"> </w:t>
      </w:r>
      <w:r w:rsidRPr="00577491">
        <w:rPr>
          <w:spacing w:val="-4"/>
        </w:rPr>
        <w:t>information and referral service that provides support</w:t>
      </w:r>
      <w:r>
        <w:rPr>
          <w:spacing w:val="-4"/>
        </w:rPr>
        <w:t xml:space="preserve"> </w:t>
      </w:r>
      <w:r w:rsidRPr="00577491">
        <w:rPr>
          <w:spacing w:val="-4"/>
        </w:rPr>
        <w:t>to people who have experienced sexual assault, family</w:t>
      </w:r>
      <w:r>
        <w:rPr>
          <w:spacing w:val="-4"/>
        </w:rPr>
        <w:t xml:space="preserve"> </w:t>
      </w:r>
      <w:r w:rsidRPr="00577491">
        <w:rPr>
          <w:spacing w:val="-4"/>
        </w:rPr>
        <w:t>and/or domestic violence. To access 1800RESPECT,</w:t>
      </w:r>
      <w:r>
        <w:rPr>
          <w:spacing w:val="-4"/>
        </w:rPr>
        <w:t xml:space="preserve"> </w:t>
      </w:r>
      <w:r w:rsidRPr="00577491">
        <w:rPr>
          <w:spacing w:val="-4"/>
        </w:rPr>
        <w:t>you can phone 1800</w:t>
      </w:r>
      <w:r>
        <w:t> </w:t>
      </w:r>
      <w:r w:rsidRPr="00577491">
        <w:rPr>
          <w:spacing w:val="-4"/>
        </w:rPr>
        <w:t>737</w:t>
      </w:r>
      <w:r>
        <w:rPr>
          <w:spacing w:val="-4"/>
        </w:rPr>
        <w:t> </w:t>
      </w:r>
      <w:r w:rsidRPr="00577491">
        <w:rPr>
          <w:spacing w:val="-4"/>
        </w:rPr>
        <w:t>732, 24 hours a day, 7 days a</w:t>
      </w:r>
      <w:r>
        <w:rPr>
          <w:spacing w:val="-4"/>
        </w:rPr>
        <w:t xml:space="preserve"> </w:t>
      </w:r>
      <w:r w:rsidRPr="00577491">
        <w:rPr>
          <w:spacing w:val="-4"/>
        </w:rPr>
        <w:t xml:space="preserve">week, chat online via </w:t>
      </w:r>
      <w:hyperlink r:id="rId7" w:history="1">
        <w:r w:rsidRPr="00577491">
          <w:rPr>
            <w:rStyle w:val="Hyperlink"/>
            <w:spacing w:val="-4"/>
          </w:rPr>
          <w:t>www.1800RESPECT.org.au</w:t>
        </w:r>
      </w:hyperlink>
      <w:r w:rsidRPr="00577491">
        <w:rPr>
          <w:spacing w:val="-4"/>
        </w:rPr>
        <w:t>, or</w:t>
      </w:r>
      <w:r>
        <w:rPr>
          <w:spacing w:val="-4"/>
        </w:rPr>
        <w:t xml:space="preserve"> </w:t>
      </w:r>
      <w:r w:rsidRPr="00577491">
        <w:rPr>
          <w:spacing w:val="-4"/>
        </w:rPr>
        <w:t>text 0458</w:t>
      </w:r>
      <w:r>
        <w:rPr>
          <w:spacing w:val="-4"/>
        </w:rPr>
        <w:t> </w:t>
      </w:r>
      <w:r w:rsidRPr="00577491">
        <w:rPr>
          <w:spacing w:val="-4"/>
        </w:rPr>
        <w:t>737</w:t>
      </w:r>
      <w:r>
        <w:rPr>
          <w:spacing w:val="-4"/>
        </w:rPr>
        <w:t> </w:t>
      </w:r>
      <w:r w:rsidRPr="00577491">
        <w:rPr>
          <w:spacing w:val="-4"/>
        </w:rPr>
        <w:t>732.</w:t>
      </w:r>
    </w:p>
    <w:p w14:paraId="2A57C8B8" w14:textId="77777777" w:rsidR="00577491" w:rsidRPr="00577491" w:rsidRDefault="00577491" w:rsidP="00577491">
      <w:pPr>
        <w:pStyle w:val="Heading1"/>
      </w:pPr>
      <w:r w:rsidRPr="00577491">
        <w:t>More information</w:t>
      </w:r>
    </w:p>
    <w:p w14:paraId="2A57C8B9" w14:textId="77777777" w:rsidR="00577491" w:rsidRPr="00696F57" w:rsidRDefault="00577491" w:rsidP="00577491">
      <w:pPr>
        <w:rPr>
          <w:spacing w:val="-4"/>
        </w:rPr>
      </w:pPr>
      <w:r w:rsidRPr="00577491">
        <w:rPr>
          <w:spacing w:val="-4"/>
        </w:rPr>
        <w:t>For legal advice or support, please refer to the Family</w:t>
      </w:r>
      <w:r>
        <w:rPr>
          <w:spacing w:val="-4"/>
        </w:rPr>
        <w:t xml:space="preserve"> </w:t>
      </w:r>
      <w:r w:rsidRPr="00577491">
        <w:rPr>
          <w:spacing w:val="-4"/>
        </w:rPr>
        <w:t>Law Services and Support fact sheet which can be</w:t>
      </w:r>
      <w:r>
        <w:rPr>
          <w:spacing w:val="-4"/>
        </w:rPr>
        <w:t xml:space="preserve"> </w:t>
      </w:r>
      <w:r w:rsidRPr="00577491">
        <w:rPr>
          <w:spacing w:val="-4"/>
        </w:rPr>
        <w:t xml:space="preserve">found at: </w:t>
      </w:r>
      <w:hyperlink r:id="rId8" w:history="1">
        <w:r w:rsidRPr="00577491">
          <w:rPr>
            <w:rStyle w:val="Hyperlink"/>
            <w:spacing w:val="-4"/>
          </w:rPr>
          <w:t>https://www.ag.gov.au/families-andmarriage/publications/family-law-services-andsupport-fact-sheet</w:t>
        </w:r>
      </w:hyperlink>
      <w:r w:rsidRPr="00577491">
        <w:rPr>
          <w:spacing w:val="-4"/>
        </w:rPr>
        <w:t>.</w:t>
      </w:r>
    </w:p>
    <w:sectPr w:rsidR="00577491" w:rsidRPr="00696F57" w:rsidSect="00FA08F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7C8BF" w14:textId="77777777" w:rsidR="0022652A" w:rsidRDefault="0022652A" w:rsidP="006B56BB">
      <w:r>
        <w:separator/>
      </w:r>
    </w:p>
    <w:p w14:paraId="2A57C8C0" w14:textId="77777777" w:rsidR="0022652A" w:rsidRDefault="0022652A"/>
  </w:endnote>
  <w:endnote w:type="continuationSeparator" w:id="0">
    <w:p w14:paraId="2A57C8C1" w14:textId="77777777" w:rsidR="0022652A" w:rsidRDefault="0022652A" w:rsidP="006B56BB">
      <w:r>
        <w:continuationSeparator/>
      </w:r>
    </w:p>
    <w:p w14:paraId="2A57C8C2" w14:textId="77777777" w:rsidR="0022652A" w:rsidRDefault="0022652A"/>
  </w:endnote>
  <w:endnote w:type="continuationNotice" w:id="1">
    <w:p w14:paraId="2A57C8C3" w14:textId="77777777" w:rsidR="0022652A" w:rsidRDefault="00226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7C8C5" w14:textId="77777777" w:rsidR="00B53987" w:rsidRPr="00FA08F2" w:rsidRDefault="00FA08F2" w:rsidP="00FA08F2">
    <w:pPr>
      <w:pStyle w:val="Footer"/>
      <w:pBdr>
        <w:top w:val="single" w:sz="4" w:space="5" w:color="50748A" w:themeColor="text2"/>
      </w:pBdr>
      <w:spacing w:after="300"/>
      <w:rPr>
        <w:color w:val="FFFFFF" w:themeColor="background1"/>
      </w:rPr>
    </w:pPr>
    <w:r w:rsidRPr="00FA08F2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2A57C8CA" wp14:editId="2A57C8CB">
          <wp:simplePos x="0" y="0"/>
          <wp:positionH relativeFrom="page">
            <wp:align>left</wp:align>
          </wp:positionH>
          <wp:positionV relativeFrom="paragraph">
            <wp:posOffset>-172402</wp:posOffset>
          </wp:positionV>
          <wp:extent cx="7560000" cy="573460"/>
          <wp:effectExtent l="0" t="0" r="3175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871 Family Law Amendment fact sheets -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7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15F" w:rsidRPr="00FA08F2">
      <w:rPr>
        <w:color w:val="FFFFFF" w:themeColor="background1"/>
      </w:rPr>
      <w:t>Fact</w:t>
    </w:r>
    <w:r w:rsidR="00AB415F">
      <w:rPr>
        <w:color w:val="FFFFFF" w:themeColor="background1"/>
      </w:rPr>
      <w:t xml:space="preserve"> </w:t>
    </w:r>
    <w:r w:rsidR="00AB415F" w:rsidRPr="00FA08F2">
      <w:rPr>
        <w:color w:val="FFFFFF" w:themeColor="background1"/>
      </w:rPr>
      <w:t xml:space="preserve">sheet for </w:t>
    </w:r>
    <w:r w:rsidR="00AB415F">
      <w:rPr>
        <w:color w:val="FFFFFF" w:themeColor="background1"/>
      </w:rPr>
      <w:t>separating couples</w:t>
    </w:r>
    <w:sdt>
      <w:sdtPr>
        <w:rPr>
          <w:color w:val="FFFFFF" w:themeColor="background1"/>
        </w:rPr>
        <w:id w:val="-183903453"/>
        <w:docPartObj>
          <w:docPartGallery w:val="Page Numbers (Bottom of Page)"/>
          <w:docPartUnique/>
        </w:docPartObj>
      </w:sdtPr>
      <w:sdtEndPr/>
      <w:sdtContent>
        <w:r w:rsidR="00B53987" w:rsidRPr="00FA08F2">
          <w:rPr>
            <w:color w:val="FFFFFF" w:themeColor="background1"/>
          </w:rPr>
          <w:tab/>
        </w:r>
        <w:r w:rsidR="00B53987" w:rsidRPr="00FA08F2">
          <w:rPr>
            <w:color w:val="FFFFFF" w:themeColor="background1"/>
          </w:rPr>
          <w:fldChar w:fldCharType="begin"/>
        </w:r>
        <w:r w:rsidR="00B53987" w:rsidRPr="00FA08F2">
          <w:rPr>
            <w:color w:val="FFFFFF" w:themeColor="background1"/>
          </w:rPr>
          <w:instrText xml:space="preserve"> PAGE   \* MERGEFORMAT </w:instrText>
        </w:r>
        <w:r w:rsidR="00B53987" w:rsidRPr="00FA08F2">
          <w:rPr>
            <w:color w:val="FFFFFF" w:themeColor="background1"/>
          </w:rPr>
          <w:fldChar w:fldCharType="separate"/>
        </w:r>
        <w:r w:rsidR="00B53987" w:rsidRPr="00FA08F2">
          <w:rPr>
            <w:color w:val="FFFFFF" w:themeColor="background1"/>
          </w:rPr>
          <w:t>1</w:t>
        </w:r>
        <w:r w:rsidR="00B53987" w:rsidRPr="00FA08F2">
          <w:rPr>
            <w:color w:val="FFFFFF" w:themeColor="background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7C8C7" w14:textId="77777777" w:rsidR="009B52A9" w:rsidRPr="00FA08F2" w:rsidRDefault="00FA08F2" w:rsidP="00FA08F2">
    <w:pPr>
      <w:pStyle w:val="Footer"/>
      <w:pBdr>
        <w:top w:val="single" w:sz="4" w:space="5" w:color="61628A"/>
      </w:pBdr>
      <w:spacing w:after="300"/>
      <w:rPr>
        <w:color w:val="FFFFFF" w:themeColor="background1"/>
      </w:rPr>
    </w:pPr>
    <w:r w:rsidRPr="00FA08F2">
      <w:rPr>
        <w:noProof/>
        <w:color w:val="FFFFFF" w:themeColor="background1"/>
      </w:rPr>
      <w:drawing>
        <wp:anchor distT="0" distB="0" distL="114300" distR="114300" simplePos="0" relativeHeight="251660288" behindDoc="1" locked="0" layoutInCell="1" allowOverlap="1" wp14:anchorId="2A57C8CE" wp14:editId="2A57C8CF">
          <wp:simplePos x="0" y="0"/>
          <wp:positionH relativeFrom="page">
            <wp:align>left</wp:align>
          </wp:positionH>
          <wp:positionV relativeFrom="paragraph">
            <wp:posOffset>-172085</wp:posOffset>
          </wp:positionV>
          <wp:extent cx="7560000" cy="573460"/>
          <wp:effectExtent l="0" t="0" r="3175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871 Family Law Amendment fact sheets -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7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52A" w:rsidRPr="00FA08F2">
      <w:rPr>
        <w:color w:val="FFFFFF" w:themeColor="background1"/>
      </w:rPr>
      <w:t>Fact</w:t>
    </w:r>
    <w:r w:rsidR="00AB415F">
      <w:rPr>
        <w:color w:val="FFFFFF" w:themeColor="background1"/>
      </w:rPr>
      <w:t xml:space="preserve"> </w:t>
    </w:r>
    <w:r w:rsidR="0022652A" w:rsidRPr="00FA08F2">
      <w:rPr>
        <w:color w:val="FFFFFF" w:themeColor="background1"/>
      </w:rPr>
      <w:t xml:space="preserve">sheet for </w:t>
    </w:r>
    <w:r w:rsidR="00AB415F">
      <w:rPr>
        <w:color w:val="FFFFFF" w:themeColor="background1"/>
      </w:rPr>
      <w:t>separating couples</w:t>
    </w:r>
    <w:sdt>
      <w:sdtPr>
        <w:rPr>
          <w:color w:val="FFFFFF" w:themeColor="background1"/>
        </w:rPr>
        <w:id w:val="-178737789"/>
        <w:docPartObj>
          <w:docPartGallery w:val="Page Numbers (Bottom of Page)"/>
          <w:docPartUnique/>
        </w:docPartObj>
      </w:sdtPr>
      <w:sdtEndPr/>
      <w:sdtContent>
        <w:r w:rsidR="00B53987" w:rsidRPr="00FA08F2">
          <w:rPr>
            <w:color w:val="FFFFFF" w:themeColor="background1"/>
          </w:rPr>
          <w:tab/>
        </w:r>
        <w:r w:rsidR="00B53987" w:rsidRPr="00FA08F2">
          <w:rPr>
            <w:color w:val="FFFFFF" w:themeColor="background1"/>
          </w:rPr>
          <w:fldChar w:fldCharType="begin"/>
        </w:r>
        <w:r w:rsidR="00B53987" w:rsidRPr="00FA08F2">
          <w:rPr>
            <w:color w:val="FFFFFF" w:themeColor="background1"/>
          </w:rPr>
          <w:instrText xml:space="preserve"> PAGE   \* MERGEFORMAT </w:instrText>
        </w:r>
        <w:r w:rsidR="00B53987" w:rsidRPr="00FA08F2">
          <w:rPr>
            <w:color w:val="FFFFFF" w:themeColor="background1"/>
          </w:rPr>
          <w:fldChar w:fldCharType="separate"/>
        </w:r>
        <w:r w:rsidR="00B53987" w:rsidRPr="00FA08F2">
          <w:rPr>
            <w:color w:val="FFFFFF" w:themeColor="background1"/>
          </w:rPr>
          <w:t>2</w:t>
        </w:r>
        <w:r w:rsidR="00B53987" w:rsidRPr="00FA08F2">
          <w:rPr>
            <w:color w:val="FFFFFF" w:themeColor="background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7C8BA" w14:textId="77777777" w:rsidR="0022652A" w:rsidRDefault="0022652A" w:rsidP="006B56BB">
      <w:r>
        <w:separator/>
      </w:r>
    </w:p>
    <w:p w14:paraId="2A57C8BB" w14:textId="77777777" w:rsidR="0022652A" w:rsidRDefault="0022652A"/>
  </w:footnote>
  <w:footnote w:type="continuationSeparator" w:id="0">
    <w:p w14:paraId="2A57C8BC" w14:textId="77777777" w:rsidR="0022652A" w:rsidRDefault="0022652A" w:rsidP="006B56BB">
      <w:r>
        <w:continuationSeparator/>
      </w:r>
    </w:p>
    <w:p w14:paraId="2A57C8BD" w14:textId="77777777" w:rsidR="0022652A" w:rsidRDefault="0022652A"/>
  </w:footnote>
  <w:footnote w:type="continuationNotice" w:id="1">
    <w:p w14:paraId="2A57C8BE" w14:textId="77777777" w:rsidR="0022652A" w:rsidRDefault="00226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7C8C4" w14:textId="77777777" w:rsidR="009B52A9" w:rsidRDefault="0049772A" w:rsidP="0022652A">
    <w:pPr>
      <w:pStyle w:val="Headertext"/>
      <w:spacing w:after="180"/>
      <w:ind w:left="-1417"/>
      <w:jc w:val="left"/>
    </w:pPr>
    <w:r>
      <w:rPr>
        <w:noProof/>
      </w:rPr>
      <w:drawing>
        <wp:inline distT="0" distB="0" distL="0" distR="0" wp14:anchorId="2A57C8C8" wp14:editId="2A57C8C9">
          <wp:extent cx="7560000" cy="1115710"/>
          <wp:effectExtent l="0" t="0" r="3175" b="8255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der page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15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7C8C6" w14:textId="77777777" w:rsidR="009B52A9" w:rsidRDefault="0049772A" w:rsidP="0022652A">
    <w:pPr>
      <w:pStyle w:val="Header"/>
      <w:ind w:left="-1417"/>
    </w:pPr>
    <w:r>
      <w:rPr>
        <w:noProof/>
      </w:rPr>
      <w:drawing>
        <wp:inline distT="0" distB="0" distL="0" distR="0" wp14:anchorId="2A57C8CC" wp14:editId="2A57C8CD">
          <wp:extent cx="7542762" cy="1532884"/>
          <wp:effectExtent l="0" t="0" r="1270" b="0"/>
          <wp:docPr id="3" name="Picture 3" descr="Image shows the Australian Government Attorney-General's Department crest and an image of two people negotiating property matt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page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762" cy="1532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9D659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066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795E8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78A4B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68E57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E2AEB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13"/>
  </w:num>
  <w:num w:numId="8">
    <w:abstractNumId w:val="1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6"/>
  </w:num>
  <w:num w:numId="14">
    <w:abstractNumId w:val="1"/>
  </w:num>
  <w:num w:numId="15">
    <w:abstractNumId w:val="0"/>
  </w:num>
  <w:num w:numId="16">
    <w:abstractNumId w:val="18"/>
  </w:num>
  <w:num w:numId="17">
    <w:abstractNumId w:val="10"/>
  </w:num>
  <w:num w:numId="18">
    <w:abstractNumId w:val="11"/>
  </w:num>
  <w:num w:numId="19">
    <w:abstractNumId w:val="12"/>
  </w:num>
  <w:num w:numId="20">
    <w:abstractNumId w:val="10"/>
  </w:num>
  <w:num w:numId="21">
    <w:abstractNumId w:val="12"/>
  </w:num>
  <w:num w:numId="22">
    <w:abstractNumId w:val="18"/>
  </w:num>
  <w:num w:numId="23">
    <w:abstractNumId w:val="15"/>
  </w:num>
  <w:num w:numId="24">
    <w:abstractNumId w:val="17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2A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3321"/>
    <w:rsid w:val="000338E5"/>
    <w:rsid w:val="00033ECC"/>
    <w:rsid w:val="0003422F"/>
    <w:rsid w:val="00043DC0"/>
    <w:rsid w:val="00046FF0"/>
    <w:rsid w:val="00050176"/>
    <w:rsid w:val="00050342"/>
    <w:rsid w:val="00067456"/>
    <w:rsid w:val="00071506"/>
    <w:rsid w:val="0007154F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6D96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10B09"/>
    <w:rsid w:val="00210C9E"/>
    <w:rsid w:val="00211840"/>
    <w:rsid w:val="00220E5F"/>
    <w:rsid w:val="002212B5"/>
    <w:rsid w:val="0022652A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31A3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CDD"/>
    <w:rsid w:val="002C38C4"/>
    <w:rsid w:val="002E1A1D"/>
    <w:rsid w:val="002E4081"/>
    <w:rsid w:val="002E5B78"/>
    <w:rsid w:val="002F3AE3"/>
    <w:rsid w:val="0030464B"/>
    <w:rsid w:val="0030786C"/>
    <w:rsid w:val="0031064A"/>
    <w:rsid w:val="00317787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63507"/>
    <w:rsid w:val="00370AAA"/>
    <w:rsid w:val="00372097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D7604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9772A"/>
    <w:rsid w:val="004A78D9"/>
    <w:rsid w:val="004C6BCF"/>
    <w:rsid w:val="004D084D"/>
    <w:rsid w:val="004D58BF"/>
    <w:rsid w:val="004E4335"/>
    <w:rsid w:val="004F13EE"/>
    <w:rsid w:val="004F2022"/>
    <w:rsid w:val="004F7C05"/>
    <w:rsid w:val="00501C94"/>
    <w:rsid w:val="00506432"/>
    <w:rsid w:val="00506E82"/>
    <w:rsid w:val="00510295"/>
    <w:rsid w:val="0052051D"/>
    <w:rsid w:val="005344C5"/>
    <w:rsid w:val="00545EE6"/>
    <w:rsid w:val="005550E7"/>
    <w:rsid w:val="005564FB"/>
    <w:rsid w:val="005572C7"/>
    <w:rsid w:val="005650ED"/>
    <w:rsid w:val="00575754"/>
    <w:rsid w:val="00577491"/>
    <w:rsid w:val="00581FBA"/>
    <w:rsid w:val="00591E20"/>
    <w:rsid w:val="00595408"/>
    <w:rsid w:val="00595E84"/>
    <w:rsid w:val="005A0C59"/>
    <w:rsid w:val="005A48EB"/>
    <w:rsid w:val="005A6CFB"/>
    <w:rsid w:val="005C40A1"/>
    <w:rsid w:val="005C5AEB"/>
    <w:rsid w:val="005D743C"/>
    <w:rsid w:val="005E0A3F"/>
    <w:rsid w:val="005E6883"/>
    <w:rsid w:val="005E772F"/>
    <w:rsid w:val="005F4524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131B"/>
    <w:rsid w:val="006734BB"/>
    <w:rsid w:val="0067697A"/>
    <w:rsid w:val="006821EB"/>
    <w:rsid w:val="00683ABF"/>
    <w:rsid w:val="00696F57"/>
    <w:rsid w:val="006B1D9A"/>
    <w:rsid w:val="006B2286"/>
    <w:rsid w:val="006B56BB"/>
    <w:rsid w:val="006C77A8"/>
    <w:rsid w:val="006D4098"/>
    <w:rsid w:val="006D48B3"/>
    <w:rsid w:val="006D7681"/>
    <w:rsid w:val="006D7B2E"/>
    <w:rsid w:val="006E02EA"/>
    <w:rsid w:val="006E0968"/>
    <w:rsid w:val="006E2AF6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0FB8"/>
    <w:rsid w:val="007E4D09"/>
    <w:rsid w:val="007F2220"/>
    <w:rsid w:val="007F4B3E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1C8E"/>
    <w:rsid w:val="00892CAA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DF"/>
    <w:rsid w:val="009268E1"/>
    <w:rsid w:val="009271EE"/>
    <w:rsid w:val="009344AE"/>
    <w:rsid w:val="009344DE"/>
    <w:rsid w:val="00945E7F"/>
    <w:rsid w:val="009557C1"/>
    <w:rsid w:val="00960D6E"/>
    <w:rsid w:val="00974B59"/>
    <w:rsid w:val="0098340B"/>
    <w:rsid w:val="00986830"/>
    <w:rsid w:val="009924C3"/>
    <w:rsid w:val="00993102"/>
    <w:rsid w:val="009B1570"/>
    <w:rsid w:val="009B52A9"/>
    <w:rsid w:val="009C6F10"/>
    <w:rsid w:val="009D148F"/>
    <w:rsid w:val="009D3D70"/>
    <w:rsid w:val="009D6E31"/>
    <w:rsid w:val="009E6F7E"/>
    <w:rsid w:val="009E7A57"/>
    <w:rsid w:val="009F4803"/>
    <w:rsid w:val="009F4F6A"/>
    <w:rsid w:val="00A13EB5"/>
    <w:rsid w:val="00A15AFE"/>
    <w:rsid w:val="00A16E36"/>
    <w:rsid w:val="00A24961"/>
    <w:rsid w:val="00A24B10"/>
    <w:rsid w:val="00A277EF"/>
    <w:rsid w:val="00A30E9B"/>
    <w:rsid w:val="00A4512D"/>
    <w:rsid w:val="00A50244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262B"/>
    <w:rsid w:val="00AB1EE7"/>
    <w:rsid w:val="00AB415F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42851"/>
    <w:rsid w:val="00B4386F"/>
    <w:rsid w:val="00B45AC7"/>
    <w:rsid w:val="00B5372F"/>
    <w:rsid w:val="00B53987"/>
    <w:rsid w:val="00B61129"/>
    <w:rsid w:val="00B67E7F"/>
    <w:rsid w:val="00B82444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60AD"/>
    <w:rsid w:val="00C113BF"/>
    <w:rsid w:val="00C2176E"/>
    <w:rsid w:val="00C23430"/>
    <w:rsid w:val="00C25ABF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E03CA"/>
    <w:rsid w:val="00CE22F1"/>
    <w:rsid w:val="00CE50F2"/>
    <w:rsid w:val="00CE6502"/>
    <w:rsid w:val="00CF7D3C"/>
    <w:rsid w:val="00D01F09"/>
    <w:rsid w:val="00D147EB"/>
    <w:rsid w:val="00D34667"/>
    <w:rsid w:val="00D401E1"/>
    <w:rsid w:val="00D408B4"/>
    <w:rsid w:val="00D524C8"/>
    <w:rsid w:val="00D65099"/>
    <w:rsid w:val="00D70E24"/>
    <w:rsid w:val="00D72B61"/>
    <w:rsid w:val="00D86F54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5B1F"/>
    <w:rsid w:val="00E27FEA"/>
    <w:rsid w:val="00E4086F"/>
    <w:rsid w:val="00E42BCE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430D"/>
    <w:rsid w:val="00F321DE"/>
    <w:rsid w:val="00F33777"/>
    <w:rsid w:val="00F36740"/>
    <w:rsid w:val="00F40648"/>
    <w:rsid w:val="00F47DA2"/>
    <w:rsid w:val="00F519FC"/>
    <w:rsid w:val="00F60B01"/>
    <w:rsid w:val="00F6239D"/>
    <w:rsid w:val="00F715D2"/>
    <w:rsid w:val="00F7274F"/>
    <w:rsid w:val="00F74E84"/>
    <w:rsid w:val="00F76FA8"/>
    <w:rsid w:val="00F93F08"/>
    <w:rsid w:val="00F94CED"/>
    <w:rsid w:val="00FA02BB"/>
    <w:rsid w:val="00FA08F2"/>
    <w:rsid w:val="00FA2CEE"/>
    <w:rsid w:val="00FA318C"/>
    <w:rsid w:val="00FB6F92"/>
    <w:rsid w:val="00FC026E"/>
    <w:rsid w:val="00FC5124"/>
    <w:rsid w:val="00FD4731"/>
    <w:rsid w:val="00FD6768"/>
    <w:rsid w:val="00FF0AB0"/>
    <w:rsid w:val="00FF28AC"/>
    <w:rsid w:val="00FF75B2"/>
    <w:rsid w:val="00FF777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A57C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3D7604"/>
    <w:pPr>
      <w:spacing w:before="180" w:after="120" w:line="288" w:lineRule="auto"/>
    </w:pPr>
    <w:rPr>
      <w:rFonts w:ascii="Arial" w:hAnsi="Arial"/>
      <w:color w:val="000000" w:themeColor="text1"/>
      <w:sz w:val="21"/>
      <w:szCs w:val="24"/>
      <w:lang w:eastAsia="en-US"/>
    </w:rPr>
  </w:style>
  <w:style w:type="paragraph" w:styleId="Heading1">
    <w:name w:val="heading 1"/>
    <w:next w:val="Normal"/>
    <w:qFormat/>
    <w:rsid w:val="00372097"/>
    <w:pPr>
      <w:keepNext/>
      <w:spacing w:before="240" w:after="60"/>
      <w:outlineLvl w:val="0"/>
    </w:pPr>
    <w:rPr>
      <w:rFonts w:ascii="Calibri" w:hAnsi="Calibri" w:cs="Arial"/>
      <w:b/>
      <w:bCs/>
      <w:color w:val="61628A"/>
      <w:kern w:val="28"/>
      <w:sz w:val="52"/>
      <w:szCs w:val="36"/>
      <w:lang w:eastAsia="en-US"/>
    </w:rPr>
  </w:style>
  <w:style w:type="paragraph" w:styleId="Heading2">
    <w:name w:val="heading 2"/>
    <w:next w:val="Normal"/>
    <w:qFormat/>
    <w:rsid w:val="003D7604"/>
    <w:pPr>
      <w:keepNext/>
      <w:spacing w:before="240" w:after="60"/>
      <w:outlineLvl w:val="1"/>
    </w:pPr>
    <w:rPr>
      <w:rFonts w:ascii="Calibri" w:hAnsi="Calibri" w:cs="Arial"/>
      <w:b/>
      <w:bCs/>
      <w:iCs/>
      <w:color w:val="5A447A" w:themeColor="accent6"/>
      <w:sz w:val="40"/>
      <w:szCs w:val="28"/>
      <w:lang w:eastAsia="en-US"/>
    </w:rPr>
  </w:style>
  <w:style w:type="paragraph" w:styleId="Heading3">
    <w:name w:val="heading 3"/>
    <w:next w:val="Normal"/>
    <w:qFormat/>
    <w:rsid w:val="003D7604"/>
    <w:pPr>
      <w:keepNext/>
      <w:spacing w:before="180" w:after="60"/>
      <w:outlineLvl w:val="2"/>
    </w:pPr>
    <w:rPr>
      <w:rFonts w:ascii="Calibri" w:hAnsi="Calibri" w:cs="Arial"/>
      <w:bCs/>
      <w:color w:val="5A447A" w:themeColor="accent6"/>
      <w:sz w:val="36"/>
      <w:szCs w:val="26"/>
      <w:lang w:eastAsia="en-US"/>
    </w:rPr>
  </w:style>
  <w:style w:type="paragraph" w:styleId="Heading4">
    <w:name w:val="heading 4"/>
    <w:next w:val="Normal"/>
    <w:qFormat/>
    <w:rsid w:val="00B82444"/>
    <w:pPr>
      <w:keepNext/>
      <w:spacing w:before="240" w:after="60"/>
      <w:outlineLvl w:val="3"/>
    </w:pPr>
    <w:rPr>
      <w:rFonts w:asciiTheme="minorHAnsi" w:hAnsiTheme="minorHAnsi"/>
      <w:bCs/>
      <w:i/>
      <w:color w:val="50748A" w:themeColor="text2"/>
      <w:sz w:val="28"/>
      <w:szCs w:val="28"/>
      <w:lang w:eastAsia="en-US"/>
    </w:rPr>
  </w:style>
  <w:style w:type="paragraph" w:styleId="Heading5">
    <w:name w:val="heading 5"/>
    <w:next w:val="Normal"/>
    <w:rsid w:val="00B82444"/>
    <w:pPr>
      <w:keepNext/>
      <w:spacing w:before="240" w:after="60"/>
      <w:outlineLvl w:val="4"/>
    </w:pPr>
    <w:rPr>
      <w:rFonts w:asciiTheme="minorHAnsi" w:hAnsiTheme="minorHAnsi"/>
      <w:bCs/>
      <w:iCs/>
      <w:color w:val="50748A" w:themeColor="accent1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273944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372097"/>
    <w:pPr>
      <w:spacing w:before="600" w:after="120"/>
      <w:contextualSpacing/>
    </w:pPr>
    <w:rPr>
      <w:rFonts w:ascii="Calibri" w:eastAsiaTheme="majorEastAsia" w:hAnsi="Calibri" w:cstheme="majorBidi"/>
      <w:b/>
      <w:color w:val="61628A"/>
      <w:kern w:val="28"/>
      <w:sz w:val="64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372097"/>
    <w:rPr>
      <w:rFonts w:ascii="Calibri" w:eastAsiaTheme="majorEastAsia" w:hAnsi="Calibri" w:cstheme="majorBidi"/>
      <w:b/>
      <w:color w:val="61628A"/>
      <w:kern w:val="28"/>
      <w:sz w:val="64"/>
      <w:szCs w:val="52"/>
      <w:lang w:eastAsia="en-US"/>
    </w:rPr>
  </w:style>
  <w:style w:type="paragraph" w:customStyle="1" w:styleId="Boxheading">
    <w:name w:val="Box heading"/>
    <w:basedOn w:val="Boxtype"/>
    <w:qFormat/>
    <w:rsid w:val="00372097"/>
    <w:pPr>
      <w:pBdr>
        <w:top w:val="single" w:sz="6" w:space="10" w:color="5A447A" w:themeColor="accent6"/>
        <w:left w:val="single" w:sz="6" w:space="10" w:color="5A447A" w:themeColor="accent6"/>
        <w:bottom w:val="single" w:sz="6" w:space="10" w:color="5A447A" w:themeColor="accent6"/>
        <w:right w:val="single" w:sz="6" w:space="10" w:color="5A447A" w:themeColor="accent6"/>
      </w:pBdr>
      <w:spacing w:before="240"/>
    </w:pPr>
    <w:rPr>
      <w:rFonts w:asciiTheme="minorHAnsi" w:hAnsiTheme="minorHAnsi" w:cs="Times New Roman"/>
      <w:b/>
      <w:bCs/>
      <w:caps/>
      <w:color w:val="61628A"/>
      <w:sz w:val="24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50748A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50748A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50748A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50748A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E98500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E98500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3D7604"/>
    <w:pPr>
      <w:numPr>
        <w:numId w:val="20"/>
      </w:numPr>
      <w:tabs>
        <w:tab w:val="left" w:pos="340"/>
        <w:tab w:val="left" w:pos="680"/>
      </w:tabs>
      <w:spacing w:before="60" w:after="60"/>
      <w:ind w:left="357" w:hanging="357"/>
      <w:contextualSpacing/>
    </w:pPr>
  </w:style>
  <w:style w:type="paragraph" w:styleId="ListParagraph">
    <w:name w:val="List Paragraph"/>
    <w:basedOn w:val="Normal"/>
    <w:uiPriority w:val="34"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B82444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1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3D7604"/>
    <w:pPr>
      <w:spacing w:before="60" w:after="60" w:line="288" w:lineRule="auto"/>
    </w:pPr>
    <w:rPr>
      <w:rFonts w:ascii="Arial" w:hAnsi="Arial"/>
      <w:color w:val="000000" w:themeColor="text1"/>
      <w:sz w:val="21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3D7604"/>
    <w:pPr>
      <w:spacing w:before="120" w:after="120"/>
    </w:pPr>
    <w:rPr>
      <w:rFonts w:asciiTheme="minorHAnsi" w:hAnsiTheme="minorHAnsi"/>
      <w:b/>
      <w:color w:val="000000" w:themeColor="text1"/>
      <w:sz w:val="24"/>
      <w:szCs w:val="24"/>
      <w:lang w:val="en-US" w:eastAsia="en-US"/>
    </w:rPr>
  </w:style>
  <w:style w:type="paragraph" w:styleId="Header">
    <w:name w:val="header"/>
    <w:link w:val="HeaderChar"/>
    <w:qFormat/>
    <w:rsid w:val="00B82444"/>
    <w:pPr>
      <w:tabs>
        <w:tab w:val="center" w:pos="4513"/>
        <w:tab w:val="right" w:pos="9026"/>
      </w:tabs>
    </w:pPr>
    <w:rPr>
      <w:rFonts w:ascii="Arial" w:hAnsi="Arial"/>
      <w:sz w:val="21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B82444"/>
    <w:rPr>
      <w:rFonts w:ascii="Arial" w:hAnsi="Arial"/>
      <w:sz w:val="21"/>
      <w:szCs w:val="24"/>
      <w:lang w:eastAsia="en-US"/>
    </w:rPr>
  </w:style>
  <w:style w:type="paragraph" w:styleId="Footer">
    <w:name w:val="footer"/>
    <w:link w:val="FooterChar"/>
    <w:uiPriority w:val="99"/>
    <w:qFormat/>
    <w:rsid w:val="00B82444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2444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B82444"/>
    <w:rPr>
      <w:rFonts w:ascii="Arial" w:hAnsi="Arial"/>
      <w:sz w:val="18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B82444"/>
    <w:rPr>
      <w:rFonts w:ascii="Arial" w:hAnsi="Arial"/>
      <w:sz w:val="18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3D7604"/>
    <w:pPr>
      <w:pBdr>
        <w:top w:val="single" w:sz="6" w:space="10" w:color="50748A" w:themeColor="text2"/>
        <w:left w:val="single" w:sz="6" w:space="10" w:color="50748A" w:themeColor="text2"/>
        <w:bottom w:val="single" w:sz="6" w:space="10" w:color="50748A" w:themeColor="text2"/>
        <w:right w:val="single" w:sz="6" w:space="10" w:color="50748A" w:themeColor="text2"/>
      </w:pBdr>
      <w:spacing w:after="240" w:line="288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3D7604"/>
    <w:pPr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E3EDF3"/>
      <w:spacing w:before="240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372097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color w:val="61628A"/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B82444"/>
    <w:pPr>
      <w:spacing w:before="80" w:after="80"/>
    </w:pPr>
    <w:rPr>
      <w:rFonts w:asciiTheme="minorHAnsi" w:hAnsiTheme="minorHAnsi"/>
      <w:b/>
      <w:bCs/>
      <w:color w:val="FFFFFF" w:themeColor="background1"/>
      <w:sz w:val="24"/>
      <w:szCs w:val="20"/>
    </w:rPr>
  </w:style>
  <w:style w:type="paragraph" w:customStyle="1" w:styleId="Tabletextleft">
    <w:name w:val="Table text left"/>
    <w:autoRedefine/>
    <w:qFormat/>
    <w:rsid w:val="003D7604"/>
    <w:pPr>
      <w:spacing w:before="60" w:after="60" w:line="288" w:lineRule="auto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50748A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273944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82444"/>
    <w:pPr>
      <w:spacing w:before="100" w:beforeAutospacing="1" w:after="100" w:afterAutospacing="1"/>
    </w:pPr>
    <w:rPr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5F4524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3D7604"/>
    <w:rPr>
      <w:rFonts w:asciiTheme="minorHAnsi" w:hAnsiTheme="minorHAnsi"/>
      <w:b/>
      <w:color w:val="000000" w:themeColor="text1"/>
      <w:sz w:val="24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6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.gov.au/families-andmarriage/publications/family-law-services-andsupport-fact-she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ACTST01FS02\Public%20Affairs\Shared%20Data\00%20Design%20and%20print%20jobs\4871%20Family%20Law%20Amendment%20fact%20sheets\www.1800RESPECT.org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AGs">
      <a:dk1>
        <a:sysClr val="windowText" lastClr="000000"/>
      </a:dk1>
      <a:lt1>
        <a:sysClr val="window" lastClr="FFFFFF"/>
      </a:lt1>
      <a:dk2>
        <a:srgbClr val="50748A"/>
      </a:dk2>
      <a:lt2>
        <a:srgbClr val="E6E6E6"/>
      </a:lt2>
      <a:accent1>
        <a:srgbClr val="50748A"/>
      </a:accent1>
      <a:accent2>
        <a:srgbClr val="E98500"/>
      </a:accent2>
      <a:accent3>
        <a:srgbClr val="D2492A"/>
      </a:accent3>
      <a:accent4>
        <a:srgbClr val="857363"/>
      </a:accent4>
      <a:accent5>
        <a:srgbClr val="92D400"/>
      </a:accent5>
      <a:accent6>
        <a:srgbClr val="5A447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(property) changes from 10 June 2025 - Fact sheet for separating couples</dc:title>
  <dc:creator/>
  <cp:lastModifiedBy/>
  <cp:revision>1</cp:revision>
  <dcterms:created xsi:type="dcterms:W3CDTF">2025-01-13T02:28:00Z</dcterms:created>
  <dcterms:modified xsi:type="dcterms:W3CDTF">2025-01-13T02:28:00Z</dcterms:modified>
</cp:coreProperties>
</file>